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lang w:val="ru-RU"/>
          <w:sz w:val="27"/>
          <w:szCs w:val="27"/>
          <w:b w:val="1"/>
          <w:bCs w:val="1"/>
        </w:rPr>
        <w:t xml:space="preserve">Статистика работы постоянно действующей Комиссии ПАО «Газпром» по приемке новых видов трубной продукции</w:t>
      </w:r>
    </w:p>
    <w:p>
      <w:pPr/>
      <w:r>
        <w:rPr>
          <w:lang w:val="ru-RU"/>
        </w:rPr>
        <w:t xml:space="preserve">Отчетный период: все время</w:t>
      </w:r>
    </w:p>
    <w:p>
      <w:pPr/>
    </w:p>
    <w:p>
      <w:pPr/>
      <w:r>
        <w:rPr>
          <w:lang w:val="ru-RU"/>
        </w:rPr>
        <w:t xml:space="preserve">Работа Комиссии в отчетном периоде была организована в соответствии с утвержденными Планами.</w:t>
      </w:r>
    </w:p>
    <w:p>
      <w:pPr/>
      <w:r>
        <w:rPr>
          <w:lang w:val="ru-RU"/>
        </w:rPr>
        <w:t xml:space="preserve">Решения Комиссии принимались на заседаниях, организованных в очной или заочной форме.</w:t>
      </w:r>
    </w:p>
    <w:p>
      <w:pPr/>
      <w:r>
        <w:rPr>
          <w:lang w:val="ru-RU"/>
        </w:rPr>
        <w:t xml:space="preserve">За отчетный период было проведено 9 заседаний Комиссии:</w:t>
      </w:r>
    </w:p>
    <w:p>
      <w:pPr>
        <w:numPr>
          <w:ilvl w:val="0"/>
          <w:numId w:val="1"/>
        </w:numPr>
      </w:pPr>
      <w:r>
        <w:rPr>
          <w:lang w:val="ru-RU"/>
        </w:rPr>
        <w:t xml:space="preserve">Очные заседания: 5</w:t>
      </w:r>
    </w:p>
    <w:p>
      <w:pPr>
        <w:numPr>
          <w:ilvl w:val="0"/>
          <w:numId w:val="1"/>
        </w:numPr>
      </w:pPr>
      <w:r>
        <w:rPr>
          <w:lang w:val="ru-RU"/>
        </w:rPr>
        <w:t xml:space="preserve">Заочные заседания: 4</w:t>
      </w:r>
    </w:p>
    <w:p>
      <w:pPr/>
      <w:r>
        <w:rPr>
          <w:lang w:val="ru-RU"/>
        </w:rPr>
        <w:t xml:space="preserve">Результаты работы Комиссии оформлялись в форме протоколов. За отчетный период было оформлено 2 протокола заседаний Комиссии.</w:t>
      </w:r>
    </w:p>
    <w:p>
      <w:pPr/>
    </w:p>
    <w:p>
      <w:pPr/>
      <w:r>
        <w:rPr>
          <w:lang w:val="ru-RU"/>
        </w:rPr>
        <w:t xml:space="preserve">За отчетный период Комиссией на 1 предприятии-изготовителе проведены испытания и приемка 3 видов продукции:</w:t>
      </w:r>
    </w:p>
    <w:p>
      <w:pPr>
        <w:numPr>
          <w:ilvl w:val="0"/>
          <w:numId w:val="2"/>
        </w:numPr>
      </w:pPr>
      <w:r>
        <w:rPr>
          <w:lang w:val="ru-RU"/>
        </w:rPr>
        <w:t xml:space="preserve">Труба металлическая: 1</w:t>
      </w:r>
    </w:p>
    <w:p>
      <w:pPr>
        <w:numPr>
          <w:ilvl w:val="0"/>
          <w:numId w:val="2"/>
        </w:numPr>
      </w:pPr>
      <w:r>
        <w:rPr>
          <w:lang w:val="ru-RU"/>
        </w:rPr>
        <w:t xml:space="preserve">Труба неметаллическая: 0</w:t>
      </w:r>
    </w:p>
    <w:p>
      <w:pPr>
        <w:numPr>
          <w:ilvl w:val="0"/>
          <w:numId w:val="2"/>
        </w:numPr>
      </w:pPr>
      <w:r>
        <w:rPr>
          <w:lang w:val="ru-RU"/>
        </w:rPr>
        <w:t xml:space="preserve">Тройник: 1</w:t>
      </w:r>
    </w:p>
    <w:p>
      <w:pPr>
        <w:numPr>
          <w:ilvl w:val="0"/>
          <w:numId w:val="2"/>
        </w:numPr>
      </w:pPr>
      <w:r>
        <w:rPr>
          <w:lang w:val="ru-RU"/>
        </w:rPr>
        <w:t xml:space="preserve">Переход: 1</w:t>
      </w:r>
    </w:p>
    <w:p>
      <w:pPr>
        <w:numPr>
          <w:ilvl w:val="0"/>
          <w:numId w:val="2"/>
        </w:numPr>
      </w:pPr>
      <w:r>
        <w:rPr>
          <w:lang w:val="ru-RU"/>
        </w:rPr>
        <w:t xml:space="preserve">Отвод: 0</w:t>
      </w:r>
    </w:p>
    <w:p>
      <w:pPr>
        <w:numPr>
          <w:ilvl w:val="0"/>
          <w:numId w:val="2"/>
        </w:numPr>
      </w:pPr>
      <w:r>
        <w:rPr>
          <w:lang w:val="ru-RU"/>
        </w:rPr>
        <w:t xml:space="preserve">Днище (заглушка): 0</w:t>
      </w:r>
    </w:p>
    <w:p>
      <w:pPr>
        <w:numPr>
          <w:ilvl w:val="0"/>
          <w:numId w:val="2"/>
        </w:numPr>
      </w:pPr>
      <w:r>
        <w:rPr>
          <w:lang w:val="ru-RU"/>
        </w:rPr>
        <w:t xml:space="preserve">Кольцо переходное: 0</w:t>
      </w:r>
    </w:p>
    <w:p>
      <w:pPr>
        <w:numPr>
          <w:ilvl w:val="0"/>
          <w:numId w:val="2"/>
        </w:numPr>
      </w:pPr>
      <w:r>
        <w:rPr>
          <w:lang w:val="ru-RU"/>
        </w:rPr>
        <w:t xml:space="preserve">Узел трубопровода: 0</w:t>
      </w:r>
    </w:p>
    <w:p>
      <w:pPr>
        <w:numPr>
          <w:ilvl w:val="0"/>
          <w:numId w:val="2"/>
        </w:numPr>
      </w:pPr>
      <w:r>
        <w:rPr>
          <w:lang w:val="ru-RU"/>
        </w:rPr>
        <w:t xml:space="preserve">Люк-лаз: 0</w:t>
      </w:r>
    </w:p>
    <w:p>
      <w:pPr>
        <w:numPr>
          <w:ilvl w:val="0"/>
          <w:numId w:val="2"/>
        </w:numPr>
      </w:pPr>
      <w:r>
        <w:rPr>
          <w:lang w:val="ru-RU"/>
        </w:rPr>
        <w:t xml:space="preserve">Муфта стабилизирующего устройства: 0</w:t>
      </w:r>
    </w:p>
    <w:p>
      <w:pPr>
        <w:numPr>
          <w:ilvl w:val="0"/>
          <w:numId w:val="2"/>
        </w:numPr>
      </w:pPr>
      <w:r>
        <w:rPr>
          <w:lang w:val="ru-RU"/>
        </w:rPr>
        <w:t xml:space="preserve">Изолирующая вставка: 0</w:t>
      </w:r>
    </w:p>
    <w:p>
      <w:pPr/>
    </w:p>
    <w:p>
      <w:pPr/>
      <w:r>
        <w:rPr>
          <w:lang w:val="ru-RU"/>
        </w:rPr>
        <w:t xml:space="preserve">По результатам приемки согласовано 1 новое техническое условие (далее ТУ) на трубную продукцию.</w:t>
      </w:r>
    </w:p>
    <w:p>
      <w:pPr/>
      <w:r>
        <w:rPr>
          <w:lang w:val="ru-RU"/>
        </w:rPr>
        <w:t xml:space="preserve">Продлен срок действия 0 ТУ на трубную продукцию.</w:t>
      </w:r>
    </w:p>
    <w:p>
      <w:pPr/>
      <w:r>
        <w:rPr>
          <w:lang w:val="ru-RU"/>
        </w:rPr>
        <w:t xml:space="preserve">Приняты изменения к 0 ранее согласованным ТУ в связи с необходимостью расширения номенклатуры производимой продукции, приведения документации в соответствие с действующими техническими требованиями ПАО «Газпром» к трубной продукции, актуализации ссылок на национальные и межгосударственные нормативные документы, в ряде случаев одновременно с продлением технических условий.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D780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51BD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2022-12-22T15:03:41+03:00</dcterms:created>
  <dcterms:modified xsi:type="dcterms:W3CDTF">2022-12-22T15:03:41+03:00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